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0" w:after="0" w:line="240" w:lineRule="auto"/>
        <w:ind w:left="103" w:leftChars="49"/>
        <w:jc w:val="center"/>
        <w:rPr>
          <w:rFonts w:hint="eastAsia" w:ascii="黑体" w:hAnsi="黑体" w:eastAsia="黑体" w:cs="黑体"/>
          <w:color w:val="auto"/>
        </w:rPr>
      </w:pPr>
      <w:r>
        <w:rPr>
          <w:rFonts w:hint="eastAsia" w:ascii="黑体" w:hAnsi="黑体" w:eastAsia="黑体" w:cs="黑体"/>
          <w:color w:val="auto"/>
          <w:kern w:val="0"/>
          <w:szCs w:val="20"/>
        </w:rPr>
        <w:t>采购</w:t>
      </w:r>
      <w:r>
        <w:rPr>
          <w:rFonts w:hint="eastAsia" w:ascii="黑体" w:hAnsi="黑体" w:eastAsia="黑体" w:cs="黑体"/>
          <w:color w:val="auto"/>
        </w:rPr>
        <w:t>需求</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项目概述</w:t>
      </w:r>
    </w:p>
    <w:p>
      <w:pPr>
        <w:pStyle w:val="13"/>
        <w:keepNext w:val="0"/>
        <w:keepLines w:val="0"/>
        <w:pageBreakBefore w:val="0"/>
        <w:widowControl w:val="0"/>
        <w:numPr>
          <w:ilvl w:val="1"/>
          <w:numId w:val="3"/>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color w:val="auto"/>
          <w:sz w:val="24"/>
          <w:szCs w:val="24"/>
        </w:rPr>
      </w:pPr>
      <w:bookmarkStart w:id="0" w:name="OLE_LINK10"/>
      <w:bookmarkStart w:id="1" w:name="OLE_LINK5"/>
      <w:bookmarkStart w:id="2" w:name="OLE_LINK6"/>
      <w:r>
        <w:rPr>
          <w:rFonts w:hint="eastAsia" w:ascii="宋体" w:hAnsi="宋体" w:eastAsia="宋体" w:cs="宋体"/>
          <w:b/>
          <w:color w:val="auto"/>
          <w:sz w:val="24"/>
          <w:szCs w:val="24"/>
        </w:rPr>
        <w:t xml:space="preserve"> 项目背景</w:t>
      </w:r>
      <w:bookmarkStart w:id="3" w:name="OLE_LINK2"/>
      <w:bookmarkStart w:id="4" w:name="OLE_LINK3"/>
      <w:bookmarkStart w:id="5" w:name="OLE_LINK1"/>
    </w:p>
    <w:p>
      <w:pPr>
        <w:pStyle w:val="13"/>
        <w:keepNext w:val="0"/>
        <w:keepLines w:val="0"/>
        <w:pageBreakBefore w:val="0"/>
        <w:widowControl w:val="0"/>
        <w:numPr>
          <w:ilvl w:val="1"/>
          <w:numId w:val="3"/>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功能及总体要求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本次</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的空间激光束增材制造系统主要功能是实现高精度复杂三维微纳结构在微纳机电系统、仿生学、精密光学、生物医疗、组织工程、新材料、新能源、高清显示、微流控器件、微纳光学器件、微纳传感器、微纳电子、生物芯片、光电子和印刷电子等领域所需求的复杂三维结构的快速制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空间激光束增材制造系统的总体要求如下：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（1）根据《空间激光束增材制造系统》</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文件中的技术规格及要求，提交空间激光束增材制造系统的解决方案，作为</w:t>
      </w:r>
      <w:r>
        <w:rPr>
          <w:rFonts w:hint="eastAsia" w:ascii="宋体" w:hAnsi="宋体" w:cs="宋体"/>
          <w:color w:val="auto"/>
          <w:sz w:val="24"/>
          <w:szCs w:val="24"/>
          <w:lang w:val="en-US" w:eastAsia="zh-CN"/>
        </w:rPr>
        <w:t>响应</w:t>
      </w:r>
      <w:r>
        <w:rPr>
          <w:rFonts w:hint="eastAsia" w:ascii="宋体" w:hAnsi="宋体" w:eastAsia="宋体" w:cs="宋体"/>
          <w:color w:val="auto"/>
          <w:sz w:val="24"/>
          <w:szCs w:val="24"/>
        </w:rPr>
        <w:t>文件的一部分；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（2）根据空间激光束增材制造系统</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文件中技术规格及要求，针对空间激光束增材制造系统的技术指标，对空间激光束增材制造系统的相应设备进行选型，汇编设备清单，</w:t>
      </w:r>
      <w:r>
        <w:rPr>
          <w:rFonts w:hint="eastAsia" w:ascii="宋体" w:hAnsi="宋体" w:eastAsia="宋体" w:cs="宋体"/>
          <w:color w:val="auto"/>
          <w:sz w:val="24"/>
          <w:szCs w:val="24"/>
          <w:highlight w:val="none"/>
        </w:rPr>
        <w:t>包括设备名称、规格型号、数量、设备单价和总价，作为</w:t>
      </w:r>
      <w:r>
        <w:rPr>
          <w:rFonts w:hint="eastAsia" w:ascii="宋体" w:hAnsi="宋体" w:cs="宋体"/>
          <w:color w:val="auto"/>
          <w:sz w:val="24"/>
          <w:szCs w:val="24"/>
          <w:highlight w:val="none"/>
          <w:lang w:val="en-US" w:eastAsia="zh-CN"/>
        </w:rPr>
        <w:t>报价</w:t>
      </w:r>
      <w:r>
        <w:rPr>
          <w:rFonts w:hint="eastAsia" w:ascii="宋体" w:hAnsi="宋体" w:eastAsia="宋体" w:cs="宋体"/>
          <w:color w:val="auto"/>
          <w:sz w:val="24"/>
          <w:szCs w:val="24"/>
          <w:highlight w:val="none"/>
        </w:rPr>
        <w:t>一览表提</w:t>
      </w:r>
      <w:r>
        <w:rPr>
          <w:rFonts w:hint="eastAsia" w:ascii="宋体" w:hAnsi="宋体" w:eastAsia="宋体" w:cs="宋体"/>
          <w:color w:val="auto"/>
          <w:sz w:val="24"/>
          <w:szCs w:val="24"/>
        </w:rPr>
        <w:t>交，该设备清单同时也是合同签订后设备加工制造和验收的依据之一；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（3）空间激光束增材制造系统在满足设计功能和主要技术指标的基础上，应以提高系统的可靠性、稳定性、可视性作为用户设备所要求的目标；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（4）空间激光束增材制造系统的安装施工应符合国家及行业的标准</w:t>
      </w:r>
      <w:r>
        <w:rPr>
          <w:rFonts w:hint="eastAsia" w:ascii="宋体" w:hAnsi="宋体" w:cs="宋体"/>
          <w:color w:val="auto"/>
          <w:sz w:val="24"/>
          <w:szCs w:val="24"/>
          <w:lang w:eastAsia="zh-CN"/>
        </w:rPr>
        <w:t>。</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 xml:space="preserve"> </w:t>
      </w:r>
      <w:bookmarkEnd w:id="0"/>
      <w:bookmarkEnd w:id="1"/>
      <w:bookmarkEnd w:id="2"/>
      <w:bookmarkEnd w:id="3"/>
      <w:bookmarkEnd w:id="4"/>
      <w:bookmarkEnd w:id="5"/>
      <w:r>
        <w:rPr>
          <w:rFonts w:hint="eastAsia" w:ascii="宋体" w:hAnsi="宋体" w:cs="宋体"/>
          <w:b/>
          <w:color w:val="auto"/>
          <w:sz w:val="24"/>
          <w:szCs w:val="24"/>
          <w:lang w:val="en-US" w:eastAsia="zh-CN"/>
        </w:rPr>
        <w:t>采购</w:t>
      </w:r>
      <w:r>
        <w:rPr>
          <w:rFonts w:hint="eastAsia" w:ascii="宋体" w:hAnsi="宋体" w:eastAsia="宋体" w:cs="宋体"/>
          <w:b/>
          <w:color w:val="auto"/>
          <w:sz w:val="24"/>
          <w:szCs w:val="24"/>
        </w:rPr>
        <w:t>范围和内容</w:t>
      </w:r>
    </w:p>
    <w:p>
      <w:pPr>
        <w:pStyle w:val="13"/>
        <w:keepNext w:val="0"/>
        <w:keepLines w:val="0"/>
        <w:pageBreakBefore w:val="0"/>
        <w:widowControl w:val="0"/>
        <w:numPr>
          <w:ilvl w:val="1"/>
          <w:numId w:val="4"/>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r>
        <w:rPr>
          <w:rFonts w:hint="eastAsia" w:ascii="宋体" w:hAnsi="宋体" w:cs="宋体"/>
          <w:b/>
          <w:color w:val="auto"/>
          <w:sz w:val="24"/>
          <w:szCs w:val="24"/>
          <w:lang w:val="en-US" w:eastAsia="zh-CN"/>
        </w:rPr>
        <w:t>采购</w:t>
      </w:r>
      <w:r>
        <w:rPr>
          <w:rFonts w:hint="eastAsia" w:ascii="宋体" w:hAnsi="宋体" w:eastAsia="宋体" w:cs="宋体"/>
          <w:b/>
          <w:color w:val="auto"/>
          <w:sz w:val="24"/>
          <w:szCs w:val="24"/>
        </w:rPr>
        <w:t>范围及任务分解</w:t>
      </w:r>
    </w:p>
    <w:p>
      <w:pPr>
        <w:pStyle w:val="13"/>
        <w:keepNext w:val="0"/>
        <w:keepLines w:val="0"/>
        <w:pageBreakBefore w:val="0"/>
        <w:widowControl w:val="0"/>
        <w:numPr>
          <w:ilvl w:val="2"/>
          <w:numId w:val="4"/>
        </w:numPr>
        <w:kinsoku/>
        <w:wordWrap/>
        <w:overflowPunct/>
        <w:topLinePunct w:val="0"/>
        <w:autoSpaceDE/>
        <w:autoSpaceDN/>
        <w:bidi w:val="0"/>
        <w:adjustRightInd/>
        <w:snapToGrid/>
        <w:spacing w:line="360" w:lineRule="auto"/>
        <w:ind w:leftChars="0" w:hanging="1138"/>
        <w:textAlignment w:val="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采购</w:t>
      </w:r>
      <w:r>
        <w:rPr>
          <w:rFonts w:hint="eastAsia" w:ascii="宋体" w:hAnsi="宋体" w:eastAsia="宋体" w:cs="宋体"/>
          <w:b/>
          <w:color w:val="auto"/>
          <w:sz w:val="24"/>
          <w:szCs w:val="24"/>
        </w:rPr>
        <w:t>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空间激光束增材制造系统</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范围包括外购件采购、现场安装调试、性能指标测试、设备验收及售后维修保障等内容。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空间激光束增材制造系统的设备组成必须包含但不限于表1中的内容，</w:t>
      </w:r>
      <w:r>
        <w:rPr>
          <w:rFonts w:hint="eastAsia" w:ascii="宋体" w:hAnsi="宋体" w:cs="宋体"/>
          <w:color w:val="auto"/>
          <w:sz w:val="24"/>
          <w:szCs w:val="24"/>
          <w:lang w:val="en-US" w:eastAsia="zh-CN"/>
        </w:rPr>
        <w:t>供应商</w:t>
      </w:r>
      <w:r>
        <w:rPr>
          <w:rFonts w:hint="eastAsia" w:ascii="宋体" w:hAnsi="宋体" w:eastAsia="宋体" w:cs="宋体"/>
          <w:color w:val="auto"/>
          <w:sz w:val="24"/>
          <w:szCs w:val="24"/>
        </w:rPr>
        <w:t>应根据</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文件中技术规格及要求提供整体解决方案，在</w:t>
      </w:r>
      <w:r>
        <w:rPr>
          <w:rFonts w:hint="eastAsia" w:ascii="宋体" w:hAnsi="宋体" w:cs="宋体"/>
          <w:color w:val="auto"/>
          <w:sz w:val="24"/>
          <w:szCs w:val="24"/>
          <w:lang w:val="en-US" w:eastAsia="zh-CN"/>
        </w:rPr>
        <w:t>响应</w:t>
      </w:r>
      <w:r>
        <w:rPr>
          <w:rFonts w:hint="eastAsia" w:ascii="宋体" w:hAnsi="宋体" w:eastAsia="宋体" w:cs="宋体"/>
          <w:color w:val="auto"/>
          <w:sz w:val="24"/>
          <w:szCs w:val="24"/>
        </w:rPr>
        <w:t>文件中列出设备与材料的详细清单。</w:t>
      </w:r>
    </w:p>
    <w:p>
      <w:pPr>
        <w:spacing w:line="440" w:lineRule="exact"/>
        <w:ind w:left="360"/>
        <w:jc w:val="center"/>
        <w:rPr>
          <w:rFonts w:hint="eastAsia" w:ascii="宋体" w:hAnsi="宋体" w:eastAsia="宋体" w:cs="宋体"/>
          <w:color w:val="auto"/>
          <w:sz w:val="24"/>
          <w:szCs w:val="24"/>
        </w:rPr>
      </w:pPr>
      <w:r>
        <w:rPr>
          <w:rFonts w:hint="eastAsia" w:ascii="宋体" w:hAnsi="宋体" w:eastAsia="宋体" w:cs="宋体"/>
          <w:color w:val="auto"/>
          <w:sz w:val="24"/>
          <w:szCs w:val="24"/>
        </w:rPr>
        <w:t>表1 设备组成</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955"/>
        <w:gridCol w:w="1566"/>
        <w:gridCol w:w="3796"/>
        <w:gridCol w:w="1017"/>
        <w:gridCol w:w="117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773" w:hRule="atLeast"/>
          <w:jc w:val="center"/>
        </w:trPr>
        <w:tc>
          <w:tcPr>
            <w:tcW w:w="955"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566"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功能类型</w:t>
            </w:r>
          </w:p>
        </w:tc>
        <w:tc>
          <w:tcPr>
            <w:tcW w:w="3796"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名称</w:t>
            </w:r>
          </w:p>
        </w:tc>
        <w:tc>
          <w:tcPr>
            <w:tcW w:w="1017"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174"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noWrap w:val="0"/>
            <w:vAlign w:val="center"/>
          </w:tcPr>
          <w:p>
            <w:pPr>
              <w:widowControl/>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566" w:type="dxa"/>
            <w:vMerge w:val="restart"/>
            <w:noWrap w:val="0"/>
            <w:vAlign w:val="center"/>
          </w:tcPr>
          <w:p>
            <w:pPr>
              <w:widowControl/>
              <w:jc w:val="center"/>
              <w:rPr>
                <w:rFonts w:hint="eastAsia" w:ascii="宋体" w:hAnsi="宋体" w:eastAsia="宋体" w:cs="宋体"/>
                <w:color w:val="auto"/>
                <w:sz w:val="24"/>
                <w:szCs w:val="24"/>
              </w:rPr>
            </w:pPr>
            <w:r>
              <w:rPr>
                <w:rFonts w:hint="eastAsia" w:ascii="宋体" w:hAnsi="宋体" w:eastAsia="宋体" w:cs="宋体"/>
                <w:color w:val="auto"/>
                <w:sz w:val="24"/>
                <w:szCs w:val="24"/>
              </w:rPr>
              <w:t>硬件</w:t>
            </w:r>
          </w:p>
        </w:tc>
        <w:tc>
          <w:tcPr>
            <w:tcW w:w="3796" w:type="dxa"/>
            <w:noWrap w:val="0"/>
            <w:vAlign w:val="center"/>
          </w:tcPr>
          <w:p>
            <w:pPr>
              <w:widowControl/>
              <w:jc w:val="center"/>
              <w:rPr>
                <w:rFonts w:hint="eastAsia" w:ascii="宋体" w:hAnsi="宋体" w:eastAsia="宋体" w:cs="宋体"/>
                <w:color w:val="auto"/>
                <w:sz w:val="24"/>
                <w:szCs w:val="24"/>
              </w:rPr>
            </w:pPr>
            <w:r>
              <w:rPr>
                <w:rFonts w:hint="eastAsia" w:ascii="宋体" w:hAnsi="宋体" w:eastAsia="宋体" w:cs="宋体"/>
                <w:color w:val="auto"/>
                <w:sz w:val="24"/>
                <w:szCs w:val="24"/>
              </w:rPr>
              <w:t>光固化打印机：包括光刻系统、精密运动控制系统、工控机显示器、微尺度实时监测系统、3D 打印控制软件、树脂槽、成型平台、绷膜组件、精密刮刀组件、精密滚刀组件、激光测距系统、加热打印系统</w:t>
            </w:r>
          </w:p>
        </w:tc>
        <w:tc>
          <w:tcPr>
            <w:tcW w:w="1017"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174"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noWrap w:val="0"/>
            <w:vAlign w:val="center"/>
          </w:tcPr>
          <w:p>
            <w:pPr>
              <w:widowControl/>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566" w:type="dxa"/>
            <w:vMerge w:val="continue"/>
            <w:noWrap w:val="0"/>
            <w:vAlign w:val="center"/>
          </w:tcPr>
          <w:p>
            <w:pPr>
              <w:widowControl/>
              <w:jc w:val="center"/>
              <w:rPr>
                <w:rFonts w:hint="eastAsia" w:ascii="宋体" w:hAnsi="宋体" w:eastAsia="宋体" w:cs="宋体"/>
                <w:color w:val="auto"/>
                <w:sz w:val="24"/>
                <w:szCs w:val="24"/>
              </w:rPr>
            </w:pPr>
          </w:p>
        </w:tc>
        <w:tc>
          <w:tcPr>
            <w:tcW w:w="3796" w:type="dxa"/>
            <w:noWrap w:val="0"/>
            <w:vAlign w:val="center"/>
          </w:tcPr>
          <w:p>
            <w:pPr>
              <w:pStyle w:val="7"/>
              <w:jc w:val="center"/>
              <w:rPr>
                <w:rFonts w:hint="eastAsia" w:ascii="宋体" w:hAnsi="宋体" w:eastAsia="宋体" w:cs="宋体"/>
                <w:color w:val="auto"/>
                <w:sz w:val="24"/>
                <w:szCs w:val="24"/>
              </w:rPr>
            </w:pPr>
            <w:r>
              <w:rPr>
                <w:rFonts w:hint="eastAsia" w:ascii="宋体" w:hAnsi="宋体" w:eastAsia="宋体" w:cs="宋体"/>
                <w:color w:val="auto"/>
                <w:sz w:val="24"/>
                <w:szCs w:val="24"/>
              </w:rPr>
              <w:t>紫外固化箱</w:t>
            </w:r>
          </w:p>
        </w:tc>
        <w:tc>
          <w:tcPr>
            <w:tcW w:w="1017"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174"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noWrap w:val="0"/>
            <w:vAlign w:val="center"/>
          </w:tcPr>
          <w:p>
            <w:pPr>
              <w:widowControl/>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566" w:type="dxa"/>
            <w:vMerge w:val="continue"/>
            <w:noWrap w:val="0"/>
            <w:vAlign w:val="center"/>
          </w:tcPr>
          <w:p>
            <w:pPr>
              <w:widowControl/>
              <w:jc w:val="center"/>
              <w:rPr>
                <w:rFonts w:hint="eastAsia" w:ascii="宋体" w:hAnsi="宋体" w:eastAsia="宋体" w:cs="宋体"/>
                <w:color w:val="auto"/>
                <w:sz w:val="24"/>
                <w:szCs w:val="24"/>
              </w:rPr>
            </w:pPr>
          </w:p>
        </w:tc>
        <w:tc>
          <w:tcPr>
            <w:tcW w:w="3796" w:type="dxa"/>
            <w:noWrap w:val="0"/>
            <w:vAlign w:val="center"/>
          </w:tcPr>
          <w:p>
            <w:pPr>
              <w:pStyle w:val="7"/>
              <w:jc w:val="center"/>
              <w:rPr>
                <w:rFonts w:hint="eastAsia" w:ascii="宋体" w:hAnsi="宋体" w:eastAsia="宋体" w:cs="宋体"/>
                <w:color w:val="auto"/>
                <w:sz w:val="24"/>
                <w:szCs w:val="24"/>
              </w:rPr>
            </w:pPr>
            <w:r>
              <w:rPr>
                <w:rFonts w:hint="eastAsia" w:ascii="宋体" w:hAnsi="宋体" w:eastAsia="宋体" w:cs="宋体"/>
                <w:color w:val="auto"/>
                <w:sz w:val="24"/>
                <w:szCs w:val="24"/>
              </w:rPr>
              <w:t>光学平台</w:t>
            </w:r>
          </w:p>
        </w:tc>
        <w:tc>
          <w:tcPr>
            <w:tcW w:w="1017"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174"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noWrap w:val="0"/>
            <w:vAlign w:val="center"/>
          </w:tcPr>
          <w:p>
            <w:pPr>
              <w:widowControl/>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566" w:type="dxa"/>
            <w:vMerge w:val="continue"/>
            <w:noWrap w:val="0"/>
            <w:vAlign w:val="center"/>
          </w:tcPr>
          <w:p>
            <w:pPr>
              <w:widowControl/>
              <w:jc w:val="center"/>
              <w:rPr>
                <w:rFonts w:hint="eastAsia" w:ascii="宋体" w:hAnsi="宋体" w:eastAsia="宋体" w:cs="宋体"/>
                <w:color w:val="auto"/>
                <w:sz w:val="24"/>
                <w:szCs w:val="24"/>
              </w:rPr>
            </w:pPr>
          </w:p>
        </w:tc>
        <w:tc>
          <w:tcPr>
            <w:tcW w:w="379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升降电脑桌</w:t>
            </w:r>
          </w:p>
        </w:tc>
        <w:tc>
          <w:tcPr>
            <w:tcW w:w="1017"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174"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张</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noWrap w:val="0"/>
            <w:vAlign w:val="center"/>
          </w:tcPr>
          <w:p>
            <w:pPr>
              <w:widowControl/>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566" w:type="dxa"/>
            <w:noWrap w:val="0"/>
            <w:vAlign w:val="center"/>
          </w:tcPr>
          <w:p>
            <w:pPr>
              <w:widowControl/>
              <w:jc w:val="center"/>
              <w:rPr>
                <w:rFonts w:hint="eastAsia" w:ascii="宋体" w:hAnsi="宋体" w:eastAsia="宋体" w:cs="宋体"/>
                <w:color w:val="auto"/>
                <w:sz w:val="24"/>
                <w:szCs w:val="24"/>
              </w:rPr>
            </w:pPr>
            <w:r>
              <w:rPr>
                <w:rFonts w:hint="eastAsia" w:ascii="宋体" w:hAnsi="宋体" w:eastAsia="宋体" w:cs="宋体"/>
                <w:color w:val="auto"/>
                <w:sz w:val="24"/>
                <w:szCs w:val="24"/>
              </w:rPr>
              <w:t>软件</w:t>
            </w:r>
          </w:p>
        </w:tc>
        <w:tc>
          <w:tcPr>
            <w:tcW w:w="3796" w:type="dxa"/>
            <w:noWrap w:val="0"/>
            <w:vAlign w:val="center"/>
          </w:tcPr>
          <w:p>
            <w:pPr>
              <w:pStyle w:val="7"/>
              <w:spacing w:before="156"/>
              <w:jc w:val="center"/>
              <w:rPr>
                <w:rFonts w:hint="eastAsia" w:ascii="宋体" w:hAnsi="宋体" w:eastAsia="宋体" w:cs="宋体"/>
                <w:color w:val="auto"/>
                <w:sz w:val="24"/>
                <w:szCs w:val="24"/>
              </w:rPr>
            </w:pPr>
            <w:r>
              <w:rPr>
                <w:rFonts w:hint="eastAsia" w:ascii="宋体" w:hAnsi="宋体" w:eastAsia="宋体" w:cs="宋体"/>
                <w:color w:val="auto"/>
                <w:sz w:val="24"/>
                <w:szCs w:val="24"/>
              </w:rPr>
              <w:t>Magics切片软件</w:t>
            </w:r>
          </w:p>
        </w:tc>
        <w:tc>
          <w:tcPr>
            <w:tcW w:w="1017"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174"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noWrap w:val="0"/>
            <w:vAlign w:val="center"/>
          </w:tcPr>
          <w:p>
            <w:pPr>
              <w:widowControl/>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566" w:type="dxa"/>
            <w:noWrap w:val="0"/>
            <w:vAlign w:val="center"/>
          </w:tcPr>
          <w:p>
            <w:pPr>
              <w:widowControl/>
              <w:jc w:val="center"/>
              <w:rPr>
                <w:rFonts w:hint="eastAsia" w:ascii="宋体" w:hAnsi="宋体" w:eastAsia="宋体" w:cs="宋体"/>
                <w:color w:val="auto"/>
                <w:sz w:val="24"/>
                <w:szCs w:val="24"/>
              </w:rPr>
            </w:pPr>
            <w:r>
              <w:rPr>
                <w:rFonts w:hint="eastAsia" w:ascii="宋体" w:hAnsi="宋体" w:eastAsia="宋体" w:cs="宋体"/>
                <w:color w:val="auto"/>
                <w:sz w:val="24"/>
                <w:szCs w:val="24"/>
              </w:rPr>
              <w:t>耗材</w:t>
            </w:r>
          </w:p>
        </w:tc>
        <w:tc>
          <w:tcPr>
            <w:tcW w:w="3796" w:type="dxa"/>
            <w:noWrap w:val="0"/>
            <w:vAlign w:val="center"/>
          </w:tcPr>
          <w:p>
            <w:pPr>
              <w:pStyle w:val="7"/>
              <w:spacing w:before="156"/>
              <w:jc w:val="center"/>
              <w:rPr>
                <w:rFonts w:hint="eastAsia" w:ascii="宋体" w:hAnsi="宋体" w:eastAsia="宋体" w:cs="宋体"/>
                <w:color w:val="auto"/>
                <w:sz w:val="24"/>
                <w:szCs w:val="24"/>
              </w:rPr>
            </w:pPr>
            <w:r>
              <w:rPr>
                <w:rFonts w:hint="eastAsia" w:ascii="宋体" w:hAnsi="宋体" w:eastAsia="宋体" w:cs="宋体"/>
                <w:color w:val="auto"/>
                <w:sz w:val="24"/>
                <w:szCs w:val="24"/>
              </w:rPr>
              <w:t>光敏树脂</w:t>
            </w:r>
          </w:p>
        </w:tc>
        <w:tc>
          <w:tcPr>
            <w:tcW w:w="1017"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174"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Kg</w:t>
            </w:r>
          </w:p>
        </w:tc>
      </w:tr>
    </w:tbl>
    <w:p>
      <w:pPr>
        <w:spacing w:line="440" w:lineRule="exact"/>
        <w:rPr>
          <w:rFonts w:hint="eastAsia" w:ascii="宋体" w:hAnsi="宋体" w:eastAsia="宋体" w:cs="宋体"/>
          <w:color w:val="auto"/>
          <w:sz w:val="24"/>
          <w:szCs w:val="24"/>
        </w:rPr>
      </w:pPr>
    </w:p>
    <w:p>
      <w:pPr>
        <w:pStyle w:val="13"/>
        <w:keepNext w:val="0"/>
        <w:keepLines w:val="0"/>
        <w:pageBreakBefore w:val="0"/>
        <w:widowControl w:val="0"/>
        <w:numPr>
          <w:ilvl w:val="1"/>
          <w:numId w:val="4"/>
        </w:numPr>
        <w:kinsoku/>
        <w:wordWrap/>
        <w:overflowPunct/>
        <w:topLinePunct w:val="0"/>
        <w:autoSpaceDE/>
        <w:autoSpaceDN/>
        <w:bidi w:val="0"/>
        <w:adjustRightInd/>
        <w:snapToGrid/>
        <w:spacing w:line="360" w:lineRule="auto"/>
        <w:ind w:leftChars="0"/>
        <w:rPr>
          <w:rFonts w:hint="eastAsia" w:ascii="宋体" w:hAnsi="宋体" w:eastAsia="宋体" w:cs="宋体"/>
          <w:b/>
          <w:color w:val="auto"/>
          <w:sz w:val="24"/>
          <w:szCs w:val="24"/>
        </w:rPr>
      </w:pPr>
      <w:r>
        <w:rPr>
          <w:rFonts w:hint="eastAsia" w:ascii="宋体" w:hAnsi="宋体" w:eastAsia="宋体" w:cs="宋体"/>
          <w:b/>
          <w:color w:val="auto"/>
          <w:sz w:val="24"/>
          <w:szCs w:val="24"/>
        </w:rPr>
        <w:t>任务内容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本次</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的空间激光束增材制造系统的</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rPr>
        <w:t>内容包括：</w:t>
      </w:r>
      <w:r>
        <w:rPr>
          <w:rFonts w:hint="eastAsia" w:ascii="宋体" w:hAnsi="宋体" w:eastAsia="宋体" w:cs="宋体"/>
          <w:b/>
          <w:bCs/>
          <w:color w:val="auto"/>
          <w:sz w:val="24"/>
          <w:szCs w:val="24"/>
        </w:rPr>
        <w:t xml:space="preserve">空间激光束增材制造系统 </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t>1套</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除非合同中另有规定，报价范围包括：所有设备供货所发生的一切费用；所有材料供货所发生的一切费用；所有设备与材料安装、调试、项目实施所发生的一切费用。</w:t>
      </w:r>
      <w:r>
        <w:rPr>
          <w:rFonts w:hint="eastAsia" w:ascii="宋体" w:hAnsi="宋体" w:cs="宋体"/>
          <w:color w:val="auto"/>
          <w:sz w:val="24"/>
          <w:szCs w:val="24"/>
          <w:lang w:val="en-US" w:eastAsia="zh-CN"/>
        </w:rPr>
        <w:t>供应商</w:t>
      </w:r>
      <w:r>
        <w:rPr>
          <w:rFonts w:hint="eastAsia" w:ascii="宋体" w:hAnsi="宋体" w:eastAsia="宋体" w:cs="宋体"/>
          <w:color w:val="auto"/>
          <w:sz w:val="24"/>
          <w:szCs w:val="24"/>
        </w:rPr>
        <w:t>需提供设备类发票。</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 空间激光束增材制造系统详细参数、指标等需求</w:t>
      </w:r>
    </w:p>
    <w:p>
      <w:pPr>
        <w:keepNext w:val="0"/>
        <w:keepLines w:val="0"/>
        <w:pageBreakBefore w:val="0"/>
        <w:widowControl w:val="0"/>
        <w:tabs>
          <w:tab w:val="left" w:pos="709"/>
        </w:tabs>
        <w:kinsoku/>
        <w:wordWrap/>
        <w:overflowPunct/>
        <w:topLinePunct w:val="0"/>
        <w:autoSpaceDE/>
        <w:autoSpaceDN/>
        <w:bidi w:val="0"/>
        <w:adjustRightInd/>
        <w:snapToGrid/>
        <w:spacing w:line="360" w:lineRule="auto"/>
        <w:ind w:firstLine="482" w:firstLineChars="200"/>
        <w:jc w:val="left"/>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3.1 技术要求</w:t>
      </w:r>
    </w:p>
    <w:p>
      <w:pPr>
        <w:tabs>
          <w:tab w:val="left" w:pos="709"/>
        </w:tabs>
        <w:spacing w:line="360" w:lineRule="auto"/>
        <w:ind w:firstLine="480" w:firstLineChars="200"/>
        <w:jc w:val="left"/>
        <w:textAlignment w:val="baseline"/>
        <w:rPr>
          <w:rFonts w:hint="eastAsia" w:ascii="宋体" w:hAnsi="宋体" w:eastAsia="宋体" w:cs="宋体"/>
          <w:b/>
          <w:bCs/>
          <w:color w:val="auto"/>
          <w:sz w:val="24"/>
          <w:szCs w:val="24"/>
        </w:rPr>
      </w:pPr>
      <w:r>
        <w:rPr>
          <w:rFonts w:hint="eastAsia" w:ascii="宋体" w:hAnsi="宋体" w:eastAsia="宋体" w:cs="宋体"/>
          <w:color w:val="auto"/>
          <w:kern w:val="0"/>
          <w:sz w:val="24"/>
          <w:szCs w:val="24"/>
        </w:rPr>
        <w:t>一、仪器技术参数要求</w:t>
      </w:r>
    </w:p>
    <w:p>
      <w:pPr>
        <w:tabs>
          <w:tab w:val="left" w:pos="709"/>
        </w:tabs>
        <w:spacing w:line="360" w:lineRule="auto"/>
        <w:ind w:firstLine="480" w:firstLineChars="200"/>
        <w:jc w:val="left"/>
        <w:textAlignment w:val="baseline"/>
        <w:rPr>
          <w:rFonts w:hint="eastAsia" w:ascii="宋体" w:hAnsi="宋体" w:eastAsia="宋体" w:cs="宋体"/>
          <w:b/>
          <w:bCs/>
          <w:color w:val="auto"/>
          <w:sz w:val="24"/>
          <w:szCs w:val="24"/>
        </w:rPr>
      </w:pPr>
      <w:r>
        <w:rPr>
          <w:rFonts w:hint="eastAsia" w:ascii="宋体" w:hAnsi="宋体" w:eastAsia="宋体" w:cs="宋体"/>
          <w:color w:val="auto"/>
          <w:kern w:val="0"/>
          <w:sz w:val="24"/>
          <w:szCs w:val="24"/>
        </w:rPr>
        <w:t>1设备技术：采用面投影微立体光刻技术实现超高精度微尺度加工，采用从上往下投影的方式用紫外光将超精细图案投影到液态树脂表面使其固化，逐层累加从而完成产品的制作。</w:t>
      </w:r>
    </w:p>
    <w:p>
      <w:pPr>
        <w:tabs>
          <w:tab w:val="left" w:pos="709"/>
        </w:tabs>
        <w:spacing w:line="360" w:lineRule="auto"/>
        <w:ind w:firstLine="480" w:firstLineChars="200"/>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★2光学精度：光学精度≤10μm（提供原厂盖章的产品彩页或资料证明）</w:t>
      </w:r>
    </w:p>
    <w:p>
      <w:pPr>
        <w:tabs>
          <w:tab w:val="left" w:pos="709"/>
        </w:tabs>
        <w:spacing w:line="360" w:lineRule="auto"/>
        <w:ind w:firstLine="480" w:firstLineChars="200"/>
        <w:jc w:val="left"/>
        <w:textAlignment w:val="baseline"/>
        <w:rPr>
          <w:rFonts w:hint="eastAsia" w:ascii="宋体" w:hAnsi="宋体" w:eastAsia="宋体" w:cs="宋体"/>
          <w:b/>
          <w:bCs/>
          <w:color w:val="auto"/>
          <w:sz w:val="24"/>
          <w:szCs w:val="24"/>
        </w:rPr>
      </w:pPr>
      <w:r>
        <w:rPr>
          <w:rFonts w:hint="eastAsia" w:ascii="宋体" w:hAnsi="宋体" w:eastAsia="宋体" w:cs="宋体"/>
          <w:color w:val="auto"/>
          <w:kern w:val="0"/>
          <w:sz w:val="24"/>
          <w:szCs w:val="24"/>
        </w:rPr>
        <w:t>3加工层厚：最小加工层厚≤10μm (需要提供第三方测试报告)</w:t>
      </w:r>
    </w:p>
    <w:p>
      <w:pPr>
        <w:tabs>
          <w:tab w:val="left" w:pos="709"/>
        </w:tabs>
        <w:spacing w:line="360" w:lineRule="auto"/>
        <w:ind w:firstLine="480" w:firstLineChars="200"/>
        <w:jc w:val="left"/>
        <w:textAlignment w:val="baseline"/>
        <w:rPr>
          <w:rFonts w:hint="eastAsia" w:ascii="宋体" w:hAnsi="宋体" w:eastAsia="宋体" w:cs="宋体"/>
          <w:b/>
          <w:bCs/>
          <w:color w:val="auto"/>
          <w:sz w:val="24"/>
          <w:szCs w:val="24"/>
        </w:rPr>
      </w:pPr>
      <w:r>
        <w:rPr>
          <w:rFonts w:hint="eastAsia" w:ascii="宋体" w:hAnsi="宋体" w:eastAsia="宋体" w:cs="宋体"/>
          <w:color w:val="auto"/>
          <w:kern w:val="0"/>
          <w:sz w:val="24"/>
          <w:szCs w:val="24"/>
        </w:rPr>
        <w:t xml:space="preserve">★4 加工高度≥70mm  </w:t>
      </w:r>
    </w:p>
    <w:p>
      <w:pPr>
        <w:tabs>
          <w:tab w:val="left" w:pos="709"/>
        </w:tabs>
        <w:spacing w:line="360" w:lineRule="auto"/>
        <w:ind w:firstLine="480" w:firstLineChars="200"/>
        <w:jc w:val="left"/>
        <w:textAlignment w:val="baseline"/>
        <w:rPr>
          <w:rFonts w:hint="eastAsia" w:ascii="宋体" w:hAnsi="宋体" w:eastAsia="宋体" w:cs="宋体"/>
          <w:b/>
          <w:bCs/>
          <w:color w:val="auto"/>
          <w:sz w:val="24"/>
          <w:szCs w:val="24"/>
        </w:rPr>
      </w:pPr>
      <w:r>
        <w:rPr>
          <w:rFonts w:hint="eastAsia" w:ascii="宋体" w:hAnsi="宋体" w:eastAsia="宋体" w:cs="宋体"/>
          <w:color w:val="auto"/>
          <w:kern w:val="0"/>
          <w:sz w:val="24"/>
          <w:szCs w:val="24"/>
        </w:rPr>
        <w:t>★5二维加工最小尺寸：二维加工最小线宽≤12μm（需要提供第三方测试报告)</w:t>
      </w:r>
    </w:p>
    <w:p>
      <w:pPr>
        <w:tabs>
          <w:tab w:val="left" w:pos="709"/>
        </w:tabs>
        <w:spacing w:line="360" w:lineRule="auto"/>
        <w:ind w:firstLine="480" w:firstLineChars="200"/>
        <w:jc w:val="left"/>
        <w:textAlignment w:val="baseline"/>
        <w:rPr>
          <w:rFonts w:hint="eastAsia" w:ascii="宋体" w:hAnsi="宋体" w:eastAsia="宋体" w:cs="宋体"/>
          <w:b/>
          <w:bCs/>
          <w:color w:val="auto"/>
          <w:sz w:val="24"/>
          <w:szCs w:val="24"/>
        </w:rPr>
      </w:pPr>
      <w:r>
        <w:rPr>
          <w:rFonts w:hint="eastAsia" w:ascii="宋体" w:hAnsi="宋体" w:eastAsia="宋体" w:cs="宋体"/>
          <w:color w:val="auto"/>
          <w:kern w:val="0"/>
          <w:sz w:val="24"/>
          <w:szCs w:val="24"/>
        </w:rPr>
        <w:t>★6三维加工最小尺寸：三维加工最小特征尺寸≤50μm(需要提供第三方测试报告)</w:t>
      </w:r>
    </w:p>
    <w:p>
      <w:pPr>
        <w:tabs>
          <w:tab w:val="left" w:pos="709"/>
        </w:tabs>
        <w:spacing w:line="360" w:lineRule="auto"/>
        <w:ind w:firstLine="480" w:firstLineChars="200"/>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★7拼接误差：标准材料拼接误差≤10μm(需要提供第三方测试报告)</w:t>
      </w:r>
    </w:p>
    <w:p>
      <w:pPr>
        <w:tabs>
          <w:tab w:val="left" w:pos="709"/>
        </w:tabs>
        <w:spacing w:line="360" w:lineRule="auto"/>
        <w:ind w:firstLine="720" w:firstLineChars="300"/>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二、仪器功能要求</w:t>
      </w:r>
    </w:p>
    <w:p>
      <w:pPr>
        <w:tabs>
          <w:tab w:val="left" w:pos="709"/>
        </w:tabs>
        <w:spacing w:line="360" w:lineRule="auto"/>
        <w:ind w:firstLine="480" w:firstLineChars="200"/>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★1复杂结构极限加工能力：加工最小圆锥尖端≤15μm，加工最小孔径≤50μm，最小弹簧结构线径≤100μm (需要提供制造商原厂测试报告)</w:t>
      </w:r>
    </w:p>
    <w:p>
      <w:pPr>
        <w:tabs>
          <w:tab w:val="left" w:pos="709"/>
        </w:tabs>
        <w:spacing w:line="360" w:lineRule="auto"/>
        <w:ind w:firstLine="480" w:firstLineChars="200"/>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2加工材料：405nm固化波段的通用型光敏树脂，可支持耐高温树脂(热变形温度@0.45MPa，在140℃以上)、高粘度树脂（最高可达20000cps@25℃）、功能颗粒复合树脂等材料的打印。</w:t>
      </w:r>
    </w:p>
    <w:p>
      <w:pPr>
        <w:tabs>
          <w:tab w:val="left" w:pos="709"/>
        </w:tabs>
        <w:spacing w:line="360" w:lineRule="auto"/>
        <w:ind w:firstLine="480" w:firstLineChars="200"/>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3系统软件：</w:t>
      </w:r>
    </w:p>
    <w:p>
      <w:pPr>
        <w:tabs>
          <w:tab w:val="left" w:pos="709"/>
        </w:tabs>
        <w:spacing w:line="360" w:lineRule="auto"/>
        <w:ind w:firstLine="480" w:firstLineChars="200"/>
        <w:jc w:val="left"/>
        <w:textAlignment w:val="baseline"/>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3.1系统软件采用友好的图形用户界面，用于控制设备系统</w:t>
      </w:r>
      <w:r>
        <w:rPr>
          <w:rFonts w:hint="eastAsia" w:ascii="宋体" w:hAnsi="宋体" w:cs="宋体"/>
          <w:color w:val="auto"/>
          <w:kern w:val="0"/>
          <w:sz w:val="24"/>
          <w:szCs w:val="24"/>
          <w:lang w:eastAsia="zh-CN"/>
        </w:rPr>
        <w:t>。</w:t>
      </w:r>
    </w:p>
    <w:p>
      <w:pPr>
        <w:tabs>
          <w:tab w:val="left" w:pos="709"/>
        </w:tabs>
        <w:spacing w:line="360" w:lineRule="auto"/>
        <w:ind w:firstLine="480" w:firstLineChars="200"/>
        <w:jc w:val="left"/>
        <w:textAlignment w:val="baseline"/>
        <w:rPr>
          <w:rFonts w:hint="eastAsia" w:ascii="宋体" w:hAnsi="宋体" w:cs="宋体"/>
          <w:color w:val="auto"/>
          <w:kern w:val="0"/>
          <w:sz w:val="24"/>
          <w:szCs w:val="24"/>
          <w:lang w:eastAsia="zh-CN"/>
        </w:rPr>
      </w:pPr>
      <w:r>
        <w:rPr>
          <w:rFonts w:hint="eastAsia" w:ascii="宋体" w:hAnsi="宋体" w:eastAsia="宋体" w:cs="宋体"/>
          <w:color w:val="auto"/>
          <w:kern w:val="0"/>
          <w:sz w:val="24"/>
          <w:szCs w:val="24"/>
        </w:rPr>
        <w:t>3.2工艺窗口开源</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即加工参数可调。包括曝光光强</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曝光时间</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加工层厚等</w:t>
      </w:r>
      <w:r>
        <w:rPr>
          <w:rFonts w:hint="eastAsia" w:ascii="宋体" w:hAnsi="宋体" w:cs="宋体"/>
          <w:color w:val="auto"/>
          <w:kern w:val="0"/>
          <w:sz w:val="24"/>
          <w:szCs w:val="24"/>
          <w:lang w:eastAsia="zh-CN"/>
        </w:rPr>
        <w:t>。</w:t>
      </w:r>
    </w:p>
    <w:p>
      <w:pPr>
        <w:tabs>
          <w:tab w:val="left" w:pos="709"/>
        </w:tabs>
        <w:spacing w:line="360" w:lineRule="auto"/>
        <w:ind w:firstLine="480" w:firstLineChars="200"/>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3.3可根据模型特点自由设定不同阶段的加工参数。(需提供制造商原厂资料证明)</w:t>
      </w:r>
    </w:p>
    <w:p>
      <w:pPr>
        <w:tabs>
          <w:tab w:val="left" w:pos="709"/>
        </w:tabs>
        <w:spacing w:line="360" w:lineRule="auto"/>
        <w:ind w:firstLine="720" w:firstLineChars="300"/>
        <w:jc w:val="left"/>
        <w:textAlignment w:val="baseline"/>
        <w:rPr>
          <w:rFonts w:hint="eastAsia" w:ascii="宋体" w:hAnsi="宋体" w:eastAsia="宋体" w:cs="宋体"/>
          <w:bCs/>
          <w:color w:val="auto"/>
          <w:sz w:val="24"/>
          <w:szCs w:val="24"/>
        </w:rPr>
      </w:pPr>
      <w:r>
        <w:rPr>
          <w:rFonts w:hint="eastAsia" w:ascii="宋体" w:hAnsi="宋体" w:eastAsia="宋体" w:cs="宋体"/>
          <w:bCs/>
          <w:color w:val="auto"/>
          <w:sz w:val="24"/>
          <w:szCs w:val="24"/>
        </w:rPr>
        <w:t>三、仪器配置要求</w:t>
      </w:r>
    </w:p>
    <w:p>
      <w:pPr>
        <w:tabs>
          <w:tab w:val="left" w:pos="709"/>
        </w:tabs>
        <w:spacing w:line="360" w:lineRule="auto"/>
        <w:ind w:firstLine="480" w:firstLineChars="200"/>
        <w:jc w:val="left"/>
        <w:textAlignment w:val="baseline"/>
        <w:rPr>
          <w:rFonts w:hint="eastAsia" w:ascii="宋体" w:hAnsi="宋体" w:eastAsia="宋体" w:cs="宋体"/>
          <w:bCs/>
          <w:color w:val="auto"/>
          <w:sz w:val="24"/>
          <w:szCs w:val="24"/>
        </w:rPr>
      </w:pPr>
      <w:r>
        <w:rPr>
          <w:rFonts w:hint="eastAsia" w:ascii="宋体" w:hAnsi="宋体" w:eastAsia="宋体" w:cs="宋体"/>
          <w:bCs/>
          <w:color w:val="auto"/>
          <w:sz w:val="24"/>
          <w:szCs w:val="24"/>
        </w:rPr>
        <w:t>1光学监控系统：需配备工业相机，全幅面光学监控（需提供制造商原厂资料证明)</w:t>
      </w:r>
    </w:p>
    <w:p>
      <w:pPr>
        <w:tabs>
          <w:tab w:val="left" w:pos="709"/>
        </w:tabs>
        <w:spacing w:line="360" w:lineRule="auto"/>
        <w:ind w:firstLine="480" w:firstLineChars="200"/>
        <w:jc w:val="left"/>
        <w:textAlignment w:val="baseline"/>
        <w:rPr>
          <w:rFonts w:hint="eastAsia" w:ascii="宋体" w:hAnsi="宋体" w:eastAsia="宋体" w:cs="宋体"/>
          <w:bCs/>
          <w:color w:val="auto"/>
          <w:sz w:val="24"/>
          <w:szCs w:val="24"/>
        </w:rPr>
      </w:pPr>
      <w:r>
        <w:rPr>
          <w:rFonts w:hint="eastAsia" w:ascii="宋体" w:hAnsi="宋体" w:eastAsia="宋体" w:cs="宋体"/>
          <w:bCs/>
          <w:color w:val="auto"/>
          <w:sz w:val="24"/>
          <w:szCs w:val="24"/>
        </w:rPr>
        <w:t>2自动对焦系统：需具备自动对焦功能(需提供制造商原厂资料证明)</w:t>
      </w:r>
    </w:p>
    <w:p>
      <w:pPr>
        <w:tabs>
          <w:tab w:val="left" w:pos="709"/>
        </w:tabs>
        <w:spacing w:line="360" w:lineRule="auto"/>
        <w:ind w:firstLine="480" w:firstLineChars="200"/>
        <w:jc w:val="left"/>
        <w:textAlignment w:val="baseline"/>
        <w:rPr>
          <w:rFonts w:hint="eastAsia" w:ascii="宋体" w:hAnsi="宋体" w:eastAsia="宋体" w:cs="宋体"/>
          <w:bCs/>
          <w:color w:val="auto"/>
          <w:sz w:val="24"/>
          <w:szCs w:val="24"/>
        </w:rPr>
      </w:pPr>
      <w:r>
        <w:rPr>
          <w:rFonts w:hint="eastAsia" w:ascii="宋体" w:hAnsi="宋体" w:eastAsia="宋体" w:cs="宋体"/>
          <w:bCs/>
          <w:color w:val="auto"/>
          <w:sz w:val="24"/>
          <w:szCs w:val="24"/>
        </w:rPr>
        <w:t>3运动控制系统：需配备高精密运动控制系统，XYZ运动轴的重复定位精度±1μm</w:t>
      </w:r>
    </w:p>
    <w:p>
      <w:pPr>
        <w:tabs>
          <w:tab w:val="left" w:pos="709"/>
        </w:tabs>
        <w:spacing w:line="360" w:lineRule="auto"/>
        <w:ind w:firstLine="480" w:firstLineChars="200"/>
        <w:jc w:val="left"/>
        <w:textAlignment w:val="baseline"/>
        <w:rPr>
          <w:rFonts w:hint="eastAsia" w:ascii="宋体" w:hAnsi="宋体" w:eastAsia="宋体" w:cs="宋体"/>
          <w:bCs/>
          <w:color w:val="auto"/>
          <w:sz w:val="24"/>
          <w:szCs w:val="24"/>
        </w:rPr>
      </w:pPr>
      <w:r>
        <w:rPr>
          <w:rFonts w:hint="eastAsia" w:ascii="宋体" w:hAnsi="宋体" w:eastAsia="宋体" w:cs="宋体"/>
          <w:bCs/>
          <w:color w:val="auto"/>
          <w:sz w:val="24"/>
          <w:szCs w:val="24"/>
        </w:rPr>
        <w:t>4精密刮刀组件：需配备精密刮刀组件，用于加工过程气泡消除(需提供制造商原厂资料证明)</w:t>
      </w:r>
    </w:p>
    <w:p>
      <w:pPr>
        <w:keepNext w:val="0"/>
        <w:keepLines w:val="0"/>
        <w:pageBreakBefore w:val="0"/>
        <w:widowControl w:val="0"/>
        <w:tabs>
          <w:tab w:val="left" w:pos="709"/>
        </w:tabs>
        <w:kinsoku/>
        <w:wordWrap/>
        <w:overflowPunct/>
        <w:topLinePunct w:val="0"/>
        <w:autoSpaceDE/>
        <w:autoSpaceDN/>
        <w:bidi w:val="0"/>
        <w:adjustRightInd/>
        <w:snapToGrid/>
        <w:spacing w:line="360" w:lineRule="auto"/>
        <w:ind w:firstLine="480" w:firstLineChars="200"/>
        <w:jc w:val="left"/>
        <w:textAlignment w:val="baseline"/>
        <w:rPr>
          <w:rFonts w:hint="eastAsia" w:ascii="宋体" w:hAnsi="宋体" w:eastAsia="宋体" w:cs="宋体"/>
          <w:bCs/>
          <w:color w:val="auto"/>
          <w:sz w:val="24"/>
          <w:szCs w:val="24"/>
        </w:rPr>
      </w:pPr>
      <w:r>
        <w:rPr>
          <w:rFonts w:hint="eastAsia" w:ascii="宋体" w:hAnsi="宋体" w:eastAsia="宋体" w:cs="宋体"/>
          <w:bCs/>
          <w:color w:val="auto"/>
          <w:sz w:val="24"/>
          <w:szCs w:val="24"/>
        </w:rPr>
        <w:t>5 精密滚刀组件：需配备精密双向滚刀，用于液态树脂的快速流平 (如满足请提供原厂制造商资料用以证明)</w:t>
      </w:r>
    </w:p>
    <w:p>
      <w:pPr>
        <w:keepNext w:val="0"/>
        <w:keepLines w:val="0"/>
        <w:pageBreakBefore w:val="0"/>
        <w:widowControl w:val="0"/>
        <w:tabs>
          <w:tab w:val="left" w:pos="709"/>
        </w:tabs>
        <w:kinsoku/>
        <w:wordWrap/>
        <w:overflowPunct/>
        <w:topLinePunct w:val="0"/>
        <w:autoSpaceDE/>
        <w:autoSpaceDN/>
        <w:bidi w:val="0"/>
        <w:adjustRightInd/>
        <w:snapToGrid/>
        <w:spacing w:line="360" w:lineRule="auto"/>
        <w:ind w:firstLine="480" w:firstLineChars="200"/>
        <w:jc w:val="left"/>
        <w:textAlignment w:val="baseline"/>
        <w:rPr>
          <w:rFonts w:hint="eastAsia" w:ascii="宋体" w:hAnsi="宋体" w:eastAsia="宋体" w:cs="宋体"/>
          <w:bCs/>
          <w:color w:val="auto"/>
          <w:sz w:val="24"/>
          <w:szCs w:val="24"/>
        </w:rPr>
      </w:pPr>
      <w:r>
        <w:rPr>
          <w:rFonts w:hint="eastAsia" w:ascii="宋体" w:hAnsi="宋体" w:eastAsia="宋体" w:cs="宋体"/>
          <w:bCs/>
          <w:color w:val="auto"/>
          <w:sz w:val="24"/>
          <w:szCs w:val="24"/>
        </w:rPr>
        <w:t>6光学平台：需配备阻尼隔振平台，整体尺寸1000mm×700mm×800mm</w:t>
      </w:r>
    </w:p>
    <w:p>
      <w:pPr>
        <w:keepNext w:val="0"/>
        <w:keepLines w:val="0"/>
        <w:pageBreakBefore w:val="0"/>
        <w:widowControl w:val="0"/>
        <w:tabs>
          <w:tab w:val="left" w:pos="709"/>
        </w:tabs>
        <w:kinsoku/>
        <w:wordWrap/>
        <w:overflowPunct/>
        <w:topLinePunct w:val="0"/>
        <w:autoSpaceDE/>
        <w:autoSpaceDN/>
        <w:bidi w:val="0"/>
        <w:adjustRightInd/>
        <w:snapToGrid/>
        <w:spacing w:line="360" w:lineRule="auto"/>
        <w:ind w:firstLine="480" w:firstLineChars="200"/>
        <w:jc w:val="left"/>
        <w:textAlignment w:val="baseline"/>
        <w:rPr>
          <w:rFonts w:hint="eastAsia" w:ascii="宋体" w:hAnsi="宋体" w:eastAsia="宋体" w:cs="宋体"/>
          <w:bCs/>
          <w:color w:val="auto"/>
          <w:sz w:val="24"/>
          <w:szCs w:val="24"/>
        </w:rPr>
      </w:pPr>
      <w:r>
        <w:rPr>
          <w:rFonts w:hint="eastAsia" w:ascii="宋体" w:hAnsi="宋体" w:eastAsia="宋体" w:cs="宋体"/>
          <w:bCs/>
          <w:color w:val="auto"/>
          <w:sz w:val="24"/>
          <w:szCs w:val="24"/>
        </w:rPr>
        <w:t>7激光测距系统：需配备激光测距系统，可实现对打印平台和透明离型膜的位置测定及水平调节</w:t>
      </w:r>
    </w:p>
    <w:p>
      <w:pPr>
        <w:keepNext w:val="0"/>
        <w:keepLines w:val="0"/>
        <w:pageBreakBefore w:val="0"/>
        <w:widowControl w:val="0"/>
        <w:numPr>
          <w:ilvl w:val="1"/>
          <w:numId w:val="2"/>
        </w:numPr>
        <w:kinsoku/>
        <w:wordWrap/>
        <w:overflowPunct/>
        <w:topLinePunct w:val="0"/>
        <w:autoSpaceDE/>
        <w:autoSpaceDN/>
        <w:bidi w:val="0"/>
        <w:adjustRightInd/>
        <w:snapToGrid/>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质保及售后服务方案</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 xml:space="preserve">1 </w:t>
      </w:r>
      <w:r>
        <w:rPr>
          <w:rFonts w:hint="eastAsia" w:ascii="宋体" w:hAnsi="宋体" w:eastAsia="宋体" w:cs="宋体"/>
          <w:bCs/>
          <w:color w:val="auto"/>
          <w:sz w:val="24"/>
          <w:szCs w:val="24"/>
        </w:rPr>
        <w:t>货到采购方指定地点安装调试验收合格之日起，免费质保不低于</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年，质保期内每年提供至少两次上门巡检。</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 售后响应时间：供应商</w:t>
      </w:r>
      <w:r>
        <w:rPr>
          <w:rFonts w:hint="eastAsia" w:ascii="宋体" w:hAnsi="宋体" w:cs="宋体"/>
          <w:bCs/>
          <w:color w:val="auto"/>
          <w:sz w:val="24"/>
          <w:szCs w:val="24"/>
          <w:lang w:val="en-US" w:eastAsia="zh-CN"/>
        </w:rPr>
        <w:t>24</w:t>
      </w:r>
      <w:r>
        <w:rPr>
          <w:rFonts w:hint="eastAsia" w:ascii="宋体" w:hAnsi="宋体" w:eastAsia="宋体" w:cs="宋体"/>
          <w:bCs/>
          <w:color w:val="auto"/>
          <w:sz w:val="24"/>
          <w:szCs w:val="24"/>
        </w:rPr>
        <w:t>小时内对用户的报修申请做出响应。一般性问题应在</w:t>
      </w:r>
      <w:r>
        <w:rPr>
          <w:rFonts w:hint="eastAsia" w:ascii="宋体" w:hAnsi="宋体" w:cs="宋体"/>
          <w:bCs/>
          <w:color w:val="auto"/>
          <w:sz w:val="24"/>
          <w:szCs w:val="24"/>
          <w:lang w:val="en-US" w:eastAsia="zh-CN"/>
        </w:rPr>
        <w:t>48</w:t>
      </w:r>
      <w:r>
        <w:rPr>
          <w:rFonts w:hint="eastAsia" w:ascii="宋体" w:hAnsi="宋体" w:eastAsia="宋体" w:cs="宋体"/>
          <w:bCs/>
          <w:color w:val="auto"/>
          <w:sz w:val="24"/>
          <w:szCs w:val="24"/>
        </w:rPr>
        <w:t>小时内解决；对于在</w:t>
      </w:r>
      <w:r>
        <w:rPr>
          <w:rFonts w:hint="eastAsia" w:ascii="宋体" w:hAnsi="宋体" w:cs="宋体"/>
          <w:bCs/>
          <w:color w:val="auto"/>
          <w:sz w:val="24"/>
          <w:szCs w:val="24"/>
          <w:lang w:val="en-US" w:eastAsia="zh-CN"/>
        </w:rPr>
        <w:t>48</w:t>
      </w:r>
      <w:r>
        <w:rPr>
          <w:rFonts w:hint="eastAsia" w:ascii="宋体" w:hAnsi="宋体" w:eastAsia="宋体" w:cs="宋体"/>
          <w:bCs/>
          <w:color w:val="auto"/>
          <w:sz w:val="24"/>
          <w:szCs w:val="24"/>
        </w:rPr>
        <w:t>小时内无法解决的其它较大的问题，应在</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天内给以解决；对于在</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天内不能解决的问题，应提出明确的解决方案，得到用户的认可后，在预定的期限内解决问题，质保期内设备损坏，如</w:t>
      </w:r>
      <w:r>
        <w:rPr>
          <w:rFonts w:hint="eastAsia" w:ascii="宋体" w:hAnsi="宋体" w:cs="宋体"/>
          <w:bCs/>
          <w:color w:val="auto"/>
          <w:sz w:val="24"/>
          <w:szCs w:val="24"/>
          <w:lang w:val="en-US" w:eastAsia="zh-CN"/>
        </w:rPr>
        <w:t>7</w:t>
      </w:r>
      <w:r>
        <w:rPr>
          <w:rFonts w:hint="eastAsia" w:ascii="宋体" w:hAnsi="宋体" w:eastAsia="宋体" w:cs="宋体"/>
          <w:bCs/>
          <w:color w:val="auto"/>
          <w:sz w:val="24"/>
          <w:szCs w:val="24"/>
        </w:rPr>
        <w:t>天内没解决，则顺应延长设备质保期。</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2"/>
    <w:multiLevelType w:val="multilevel"/>
    <w:tmpl w:val="00000022"/>
    <w:lvl w:ilvl="0" w:tentative="0">
      <w:start w:val="1"/>
      <w:numFmt w:val="chineseCountingThousand"/>
      <w:pStyle w:val="3"/>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decimal"/>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3C08488E"/>
    <w:multiLevelType w:val="multilevel"/>
    <w:tmpl w:val="3C08488E"/>
    <w:lvl w:ilvl="0" w:tentative="0">
      <w:start w:val="1"/>
      <w:numFmt w:val="decimal"/>
      <w:lvlText w:val="%1"/>
      <w:lvlJc w:val="left"/>
      <w:pPr>
        <w:ind w:left="782" w:hanging="360"/>
      </w:pPr>
      <w:rPr>
        <w:rFonts w:hint="eastAsia"/>
        <w:b/>
      </w:rPr>
    </w:lvl>
    <w:lvl w:ilvl="1" w:tentative="0">
      <w:start w:val="2"/>
      <w:numFmt w:val="decimal"/>
      <w:isLgl/>
      <w:lvlText w:val="%1.%2"/>
      <w:lvlJc w:val="left"/>
      <w:pPr>
        <w:ind w:left="782" w:hanging="360"/>
      </w:pPr>
      <w:rPr>
        <w:rFonts w:hint="default"/>
      </w:rPr>
    </w:lvl>
    <w:lvl w:ilvl="2" w:tentative="0">
      <w:start w:val="1"/>
      <w:numFmt w:val="decimal"/>
      <w:isLgl/>
      <w:lvlText w:val="%1.%2.%3"/>
      <w:lvlJc w:val="left"/>
      <w:pPr>
        <w:ind w:left="1142" w:hanging="720"/>
      </w:pPr>
      <w:rPr>
        <w:rFonts w:hint="default"/>
      </w:rPr>
    </w:lvl>
    <w:lvl w:ilvl="3" w:tentative="0">
      <w:start w:val="1"/>
      <w:numFmt w:val="decimal"/>
      <w:isLgl/>
      <w:lvlText w:val="%1.%2.%3.%4"/>
      <w:lvlJc w:val="left"/>
      <w:pPr>
        <w:ind w:left="1502" w:hanging="1080"/>
      </w:pPr>
      <w:rPr>
        <w:rFonts w:hint="default"/>
      </w:rPr>
    </w:lvl>
    <w:lvl w:ilvl="4" w:tentative="0">
      <w:start w:val="1"/>
      <w:numFmt w:val="decimal"/>
      <w:isLgl/>
      <w:lvlText w:val="%1.%2.%3.%4.%5"/>
      <w:lvlJc w:val="left"/>
      <w:pPr>
        <w:ind w:left="1502" w:hanging="1080"/>
      </w:pPr>
      <w:rPr>
        <w:rFonts w:hint="default"/>
      </w:rPr>
    </w:lvl>
    <w:lvl w:ilvl="5" w:tentative="0">
      <w:start w:val="1"/>
      <w:numFmt w:val="decimal"/>
      <w:isLgl/>
      <w:lvlText w:val="%1.%2.%3.%4.%5.%6"/>
      <w:lvlJc w:val="left"/>
      <w:pPr>
        <w:ind w:left="1862" w:hanging="1440"/>
      </w:pPr>
      <w:rPr>
        <w:rFonts w:hint="default"/>
      </w:rPr>
    </w:lvl>
    <w:lvl w:ilvl="6" w:tentative="0">
      <w:start w:val="1"/>
      <w:numFmt w:val="decimal"/>
      <w:isLgl/>
      <w:lvlText w:val="%1.%2.%3.%4.%5.%6.%7"/>
      <w:lvlJc w:val="left"/>
      <w:pPr>
        <w:ind w:left="1862" w:hanging="1440"/>
      </w:pPr>
      <w:rPr>
        <w:rFonts w:hint="default"/>
      </w:rPr>
    </w:lvl>
    <w:lvl w:ilvl="7" w:tentative="0">
      <w:start w:val="1"/>
      <w:numFmt w:val="decimal"/>
      <w:isLgl/>
      <w:lvlText w:val="%1.%2.%3.%4.%5.%6.%7.%8"/>
      <w:lvlJc w:val="left"/>
      <w:pPr>
        <w:ind w:left="2222" w:hanging="1800"/>
      </w:pPr>
      <w:rPr>
        <w:rFonts w:hint="default"/>
      </w:rPr>
    </w:lvl>
    <w:lvl w:ilvl="8" w:tentative="0">
      <w:start w:val="1"/>
      <w:numFmt w:val="decimal"/>
      <w:isLgl/>
      <w:lvlText w:val="%1.%2.%3.%4.%5.%6.%7.%8.%9"/>
      <w:lvlJc w:val="left"/>
      <w:pPr>
        <w:ind w:left="2222" w:hanging="1800"/>
      </w:pPr>
      <w:rPr>
        <w:rFonts w:hint="default"/>
      </w:rPr>
    </w:lvl>
  </w:abstractNum>
  <w:abstractNum w:abstractNumId="2">
    <w:nsid w:val="50535385"/>
    <w:multiLevelType w:val="multilevel"/>
    <w:tmpl w:val="50535385"/>
    <w:lvl w:ilvl="0" w:tentative="0">
      <w:start w:val="1"/>
      <w:numFmt w:val="decimal"/>
      <w:lvlText w:val="%1"/>
      <w:lvlJc w:val="left"/>
      <w:pPr>
        <w:ind w:left="782" w:hanging="360"/>
      </w:pPr>
      <w:rPr>
        <w:rFonts w:hint="eastAsia"/>
        <w:b/>
      </w:rPr>
    </w:lvl>
    <w:lvl w:ilvl="1" w:tentative="0">
      <w:start w:val="1"/>
      <w:numFmt w:val="decimal"/>
      <w:isLgl/>
      <w:lvlText w:val="%1.%2"/>
      <w:lvlJc w:val="left"/>
      <w:pPr>
        <w:ind w:left="782" w:hanging="360"/>
      </w:pPr>
      <w:rPr>
        <w:rFonts w:hint="default"/>
      </w:rPr>
    </w:lvl>
    <w:lvl w:ilvl="2" w:tentative="0">
      <w:start w:val="1"/>
      <w:numFmt w:val="decimal"/>
      <w:isLgl/>
      <w:lvlText w:val="%1.%2.%3"/>
      <w:lvlJc w:val="left"/>
      <w:pPr>
        <w:ind w:left="1142" w:hanging="720"/>
      </w:pPr>
      <w:rPr>
        <w:rFonts w:hint="default"/>
      </w:rPr>
    </w:lvl>
    <w:lvl w:ilvl="3" w:tentative="0">
      <w:start w:val="1"/>
      <w:numFmt w:val="decimal"/>
      <w:isLgl/>
      <w:lvlText w:val="%1.%2.%3.%4"/>
      <w:lvlJc w:val="left"/>
      <w:pPr>
        <w:ind w:left="1502" w:hanging="1080"/>
      </w:pPr>
      <w:rPr>
        <w:rFonts w:hint="default"/>
      </w:rPr>
    </w:lvl>
    <w:lvl w:ilvl="4" w:tentative="0">
      <w:start w:val="1"/>
      <w:numFmt w:val="decimal"/>
      <w:isLgl/>
      <w:lvlText w:val="%1.%2.%3.%4.%5"/>
      <w:lvlJc w:val="left"/>
      <w:pPr>
        <w:ind w:left="1502" w:hanging="1080"/>
      </w:pPr>
      <w:rPr>
        <w:rFonts w:hint="default"/>
      </w:rPr>
    </w:lvl>
    <w:lvl w:ilvl="5" w:tentative="0">
      <w:start w:val="1"/>
      <w:numFmt w:val="decimal"/>
      <w:isLgl/>
      <w:lvlText w:val="%1.%2.%3.%4.%5.%6"/>
      <w:lvlJc w:val="left"/>
      <w:pPr>
        <w:ind w:left="1862" w:hanging="1440"/>
      </w:pPr>
      <w:rPr>
        <w:rFonts w:hint="default"/>
      </w:rPr>
    </w:lvl>
    <w:lvl w:ilvl="6" w:tentative="0">
      <w:start w:val="1"/>
      <w:numFmt w:val="decimal"/>
      <w:isLgl/>
      <w:lvlText w:val="%1.%2.%3.%4.%5.%6.%7"/>
      <w:lvlJc w:val="left"/>
      <w:pPr>
        <w:ind w:left="1862" w:hanging="1440"/>
      </w:pPr>
      <w:rPr>
        <w:rFonts w:hint="default"/>
      </w:rPr>
    </w:lvl>
    <w:lvl w:ilvl="7" w:tentative="0">
      <w:start w:val="1"/>
      <w:numFmt w:val="decimal"/>
      <w:isLgl/>
      <w:lvlText w:val="%1.%2.%3.%4.%5.%6.%7.%8"/>
      <w:lvlJc w:val="left"/>
      <w:pPr>
        <w:ind w:left="2222" w:hanging="1800"/>
      </w:pPr>
      <w:rPr>
        <w:rFonts w:hint="default"/>
      </w:rPr>
    </w:lvl>
    <w:lvl w:ilvl="8" w:tentative="0">
      <w:start w:val="1"/>
      <w:numFmt w:val="decimal"/>
      <w:isLgl/>
      <w:lvlText w:val="%1.%2.%3.%4.%5.%6.%7.%8.%9"/>
      <w:lvlJc w:val="left"/>
      <w:pPr>
        <w:ind w:left="2222" w:hanging="1800"/>
      </w:pPr>
      <w:rPr>
        <w:rFonts w:hint="default"/>
      </w:rPr>
    </w:lvl>
  </w:abstractNum>
  <w:abstractNum w:abstractNumId="3">
    <w:nsid w:val="5C073BAB"/>
    <w:multiLevelType w:val="multilevel"/>
    <w:tmpl w:val="5C073BAB"/>
    <w:lvl w:ilvl="0" w:tentative="0">
      <w:start w:val="2"/>
      <w:numFmt w:val="decimal"/>
      <w:lvlText w:val="%1"/>
      <w:lvlJc w:val="left"/>
      <w:pPr>
        <w:ind w:left="360" w:hanging="360"/>
      </w:pPr>
      <w:rPr>
        <w:rFonts w:hint="default"/>
      </w:rPr>
    </w:lvl>
    <w:lvl w:ilvl="1" w:tentative="0">
      <w:start w:val="1"/>
      <w:numFmt w:val="decimal"/>
      <w:lvlText w:val="%1.%2"/>
      <w:lvlJc w:val="left"/>
      <w:pPr>
        <w:ind w:left="782" w:hanging="360"/>
      </w:pPr>
      <w:rPr>
        <w:rFonts w:hint="default"/>
      </w:rPr>
    </w:lvl>
    <w:lvl w:ilvl="2" w:tentative="0">
      <w:start w:val="1"/>
      <w:numFmt w:val="decimal"/>
      <w:lvlText w:val="%1.%2.%3"/>
      <w:lvlJc w:val="left"/>
      <w:pPr>
        <w:ind w:left="1564" w:hanging="720"/>
      </w:pPr>
      <w:rPr>
        <w:rFonts w:hint="default"/>
      </w:rPr>
    </w:lvl>
    <w:lvl w:ilvl="3" w:tentative="0">
      <w:start w:val="1"/>
      <w:numFmt w:val="decimal"/>
      <w:lvlText w:val="%1.%2.%3.%4"/>
      <w:lvlJc w:val="left"/>
      <w:pPr>
        <w:ind w:left="1986" w:hanging="720"/>
      </w:pPr>
      <w:rPr>
        <w:rFonts w:hint="default"/>
      </w:rPr>
    </w:lvl>
    <w:lvl w:ilvl="4" w:tentative="0">
      <w:start w:val="1"/>
      <w:numFmt w:val="decimal"/>
      <w:lvlText w:val="%1.%2.%3.%4.%5"/>
      <w:lvlJc w:val="left"/>
      <w:pPr>
        <w:ind w:left="2768" w:hanging="1080"/>
      </w:pPr>
      <w:rPr>
        <w:rFonts w:hint="default"/>
      </w:rPr>
    </w:lvl>
    <w:lvl w:ilvl="5" w:tentative="0">
      <w:start w:val="1"/>
      <w:numFmt w:val="decimal"/>
      <w:lvlText w:val="%1.%2.%3.%4.%5.%6"/>
      <w:lvlJc w:val="left"/>
      <w:pPr>
        <w:ind w:left="3190" w:hanging="1080"/>
      </w:pPr>
      <w:rPr>
        <w:rFonts w:hint="default"/>
      </w:rPr>
    </w:lvl>
    <w:lvl w:ilvl="6" w:tentative="0">
      <w:start w:val="1"/>
      <w:numFmt w:val="decimal"/>
      <w:lvlText w:val="%1.%2.%3.%4.%5.%6.%7"/>
      <w:lvlJc w:val="left"/>
      <w:pPr>
        <w:ind w:left="3972" w:hanging="1440"/>
      </w:pPr>
      <w:rPr>
        <w:rFonts w:hint="default"/>
      </w:rPr>
    </w:lvl>
    <w:lvl w:ilvl="7" w:tentative="0">
      <w:start w:val="1"/>
      <w:numFmt w:val="decimal"/>
      <w:lvlText w:val="%1.%2.%3.%4.%5.%6.%7.%8"/>
      <w:lvlJc w:val="left"/>
      <w:pPr>
        <w:ind w:left="4394" w:hanging="1440"/>
      </w:pPr>
      <w:rPr>
        <w:rFonts w:hint="default"/>
      </w:rPr>
    </w:lvl>
    <w:lvl w:ilvl="8" w:tentative="0">
      <w:start w:val="1"/>
      <w:numFmt w:val="decimal"/>
      <w:lvlText w:val="%1.%2.%3.%4.%5.%6.%7.%8.%9"/>
      <w:lvlJc w:val="left"/>
      <w:pPr>
        <w:ind w:left="5176"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0MjY2OWI4YjlhZTdhZjNhODg5NDQ2MjQyOTRhNTIifQ=="/>
  </w:docVars>
  <w:rsids>
    <w:rsidRoot w:val="00000000"/>
    <w:rsid w:val="53193EB0"/>
    <w:rsid w:val="58F00B24"/>
    <w:rsid w:val="7BF05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rFonts w:ascii="Calibri" w:hAnsi="Calibri"/>
      <w:b/>
      <w:bCs/>
      <w:kern w:val="44"/>
      <w:sz w:val="44"/>
      <w:szCs w:val="44"/>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880" w:hanging="220"/>
    </w:pPr>
    <w:rPr>
      <w:color w:val="595959"/>
    </w:rPr>
  </w:style>
  <w:style w:type="paragraph" w:styleId="4">
    <w:name w:val="Body Text"/>
    <w:basedOn w:val="1"/>
    <w:next w:val="5"/>
    <w:qFormat/>
    <w:uiPriority w:val="0"/>
    <w:pPr>
      <w:widowControl/>
      <w:jc w:val="left"/>
    </w:pPr>
    <w:rPr>
      <w:rFonts w:ascii="宋体" w:hAnsi="宋体"/>
      <w:b/>
      <w:bCs/>
      <w:sz w:val="24"/>
    </w:rPr>
  </w:style>
  <w:style w:type="paragraph" w:styleId="5">
    <w:name w:val="Body Text First Indent"/>
    <w:basedOn w:val="4"/>
    <w:next w:val="6"/>
    <w:qFormat/>
    <w:uiPriority w:val="0"/>
    <w:pPr>
      <w:spacing w:line="312" w:lineRule="auto"/>
      <w:ind w:firstLine="420"/>
    </w:pPr>
    <w:rPr>
      <w:rFonts w:ascii="Times New Roman" w:hAnsi="Times New Roman"/>
      <w:szCs w:val="24"/>
    </w:rPr>
  </w:style>
  <w:style w:type="paragraph" w:styleId="6">
    <w:name w:val="toc 6"/>
    <w:basedOn w:val="1"/>
    <w:next w:val="1"/>
    <w:qFormat/>
    <w:uiPriority w:val="39"/>
    <w:pPr>
      <w:ind w:left="2100" w:leftChars="1000"/>
    </w:pPr>
  </w:style>
  <w:style w:type="paragraph" w:styleId="7">
    <w:name w:val="Plain Text"/>
    <w:basedOn w:val="1"/>
    <w:unhideWhenUsed/>
    <w:qFormat/>
    <w:uiPriority w:val="0"/>
    <w:rPr>
      <w:rFonts w:ascii="宋体" w:hAnsi="Courier New"/>
      <w:kern w:val="2"/>
    </w:rPr>
  </w:style>
  <w:style w:type="paragraph" w:styleId="8">
    <w:name w:val="footer"/>
    <w:basedOn w:val="1"/>
    <w:next w:val="1"/>
    <w:qFormat/>
    <w:uiPriority w:val="0"/>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2">
    <w:name w:val="标准正文-lp"/>
    <w:basedOn w:val="1"/>
    <w:next w:val="1"/>
    <w:qFormat/>
    <w:uiPriority w:val="0"/>
    <w:pPr>
      <w:spacing w:line="360" w:lineRule="auto"/>
      <w:ind w:firstLine="480" w:firstLineChars="200"/>
    </w:pPr>
    <w:rPr>
      <w:rFonts w:eastAsia="仿宋_GB2312" w:cs="宋体"/>
      <w:sz w:val="28"/>
    </w:rPr>
  </w:style>
  <w:style w:type="paragraph" w:customStyle="1" w:styleId="13">
    <w:name w:val="_Style 67"/>
    <w:basedOn w:val="1"/>
    <w:next w:val="1"/>
    <w:qFormat/>
    <w:uiPriority w:val="0"/>
    <w:pPr>
      <w:ind w:left="840" w:leftChars="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2572</Words>
  <Characters>3833</Characters>
  <Lines>0</Lines>
  <Paragraphs>0</Paragraphs>
  <TotalTime>0</TotalTime>
  <ScaleCrop>false</ScaleCrop>
  <LinksUpToDate>false</LinksUpToDate>
  <CharactersWithSpaces>3971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2023-05-19T02:30:00Z</dcterms:created>
  <dc:creator>Administrator</dc:creator>
  <cp:lastModifiedBy>✎﹏₯㎕﹍Carl✎超</cp:lastModifiedBy>
  <dcterms:modified xsi:type="dcterms:W3CDTF">2023-06-14T01:54:06Z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2E468748056649229D9932DE612745D3_12</vt:lpwstr>
  </property>
</Properties>
</file>